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B9DA1" w14:textId="77777777" w:rsidR="00136003" w:rsidRPr="00563817" w:rsidRDefault="00136003" w:rsidP="00136003">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249B0B1F" w14:textId="77777777" w:rsidR="00136003" w:rsidRPr="00563817" w:rsidRDefault="00136003" w:rsidP="00136003">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RMK õigus- ja hangete osakonna </w:t>
      </w:r>
    </w:p>
    <w:p w14:paraId="6B0671BC" w14:textId="2F9DF5EA" w:rsidR="00136003" w:rsidRPr="00563817" w:rsidRDefault="00136003" w:rsidP="00136003">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Pr="00136003">
        <w:rPr>
          <w:rFonts w:ascii="Times New Roman" w:eastAsia="Times New Roman" w:hAnsi="Times New Roman" w:cs="Times New Roman"/>
          <w:kern w:val="0"/>
          <w:sz w:val="24"/>
          <w:szCs w:val="24"/>
          <w:lang w:eastAsia="ar-SA"/>
          <w14:ligatures w14:val="none"/>
        </w:rPr>
        <w:t>1-47.3435</w:t>
      </w:r>
      <w:r>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71463274" w14:textId="77777777" w:rsidR="00136003" w:rsidRPr="00563817" w:rsidRDefault="00136003" w:rsidP="00136003">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2D0A8168" w14:textId="77777777" w:rsidR="00136003" w:rsidRPr="00563817" w:rsidRDefault="00136003" w:rsidP="00136003">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0713309A" w14:textId="62AF00C4" w:rsidR="00136003" w:rsidRPr="00563817" w:rsidRDefault="00136003" w:rsidP="00136003">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teeb ettepaneku esitada pakkumus avatud hankemenetlusena läbiviidavas riigihankes „</w:t>
      </w:r>
      <w:r w:rsidRPr="00136003">
        <w:rPr>
          <w:rFonts w:ascii="Times New Roman" w:hAnsi="Times New Roman" w:cs="Times New Roman"/>
          <w:iCs/>
          <w:sz w:val="24"/>
          <w:szCs w:val="24"/>
        </w:rPr>
        <w:t>Soomaa külastuskeskuse tehnika ost</w:t>
      </w:r>
      <w:r>
        <w:rPr>
          <w:rFonts w:ascii="Times New Roman" w:hAnsi="Times New Roman" w:cs="Times New Roman"/>
          <w:iCs/>
          <w:sz w:val="24"/>
          <w:szCs w:val="24"/>
        </w:rPr>
        <w:t xml:space="preserve">. </w:t>
      </w:r>
      <w:r w:rsidRPr="00F06854">
        <w:rPr>
          <w:rFonts w:ascii="Times New Roman" w:hAnsi="Times New Roman" w:cs="Times New Roman"/>
          <w:iCs/>
          <w:sz w:val="24"/>
          <w:szCs w:val="24"/>
        </w:rPr>
        <w:t xml:space="preserve">Viitenumber: </w:t>
      </w:r>
      <w:r w:rsidRPr="00136003">
        <w:rPr>
          <w:rFonts w:ascii="Times New Roman" w:hAnsi="Times New Roman" w:cs="Times New Roman"/>
          <w:iCs/>
          <w:sz w:val="24"/>
          <w:szCs w:val="24"/>
        </w:rPr>
        <w:t>296621</w:t>
      </w:r>
      <w:r>
        <w:rPr>
          <w:rFonts w:ascii="Times New Roman" w:hAnsi="Times New Roman" w:cs="Times New Roman"/>
          <w:iCs/>
          <w:sz w:val="24"/>
          <w:szCs w:val="24"/>
        </w:rPr>
        <w:t xml:space="preserve">“ </w:t>
      </w:r>
      <w:r w:rsidRPr="00563817">
        <w:rPr>
          <w:rFonts w:ascii="Times New Roman" w:hAnsi="Times New Roman" w:cs="Times New Roman"/>
          <w:iCs/>
          <w:sz w:val="24"/>
          <w:szCs w:val="24"/>
        </w:rPr>
        <w:t xml:space="preserve">Hange viiakse läbi vastavalt riigihangete seadusele (edaspidi </w:t>
      </w:r>
      <w:r w:rsidRPr="00563817">
        <w:rPr>
          <w:rFonts w:ascii="Times New Roman" w:hAnsi="Times New Roman" w:cs="Times New Roman"/>
          <w:b/>
          <w:iCs/>
          <w:sz w:val="24"/>
          <w:szCs w:val="24"/>
        </w:rPr>
        <w:t>RHS</w:t>
      </w:r>
      <w:r w:rsidRPr="00563817">
        <w:rPr>
          <w:rFonts w:ascii="Times New Roman" w:hAnsi="Times New Roman" w:cs="Times New Roman"/>
          <w:iCs/>
          <w:sz w:val="24"/>
          <w:szCs w:val="24"/>
        </w:rPr>
        <w:t>), hankija hangete läbiviimise korrale ja riigihanke alusdokumentides sätestatud tingimustele.</w:t>
      </w:r>
    </w:p>
    <w:p w14:paraId="063C31CE" w14:textId="77777777" w:rsidR="00136003" w:rsidRPr="00563817" w:rsidRDefault="00136003" w:rsidP="00136003">
      <w:pPr>
        <w:spacing w:after="0" w:line="276" w:lineRule="auto"/>
        <w:jc w:val="both"/>
        <w:outlineLvl w:val="1"/>
        <w:rPr>
          <w:rFonts w:ascii="Times New Roman" w:hAnsi="Times New Roman" w:cs="Times New Roman"/>
          <w:iCs/>
          <w:sz w:val="24"/>
          <w:szCs w:val="24"/>
        </w:rPr>
      </w:pPr>
    </w:p>
    <w:p w14:paraId="4E4F659B" w14:textId="77777777" w:rsidR="00136003" w:rsidRPr="00563817" w:rsidRDefault="00136003" w:rsidP="00136003">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56F9C6DF"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nimi ja andmed: Riigimetsa Majandamise Keskus, Mõisa/3, Sagadi küla, Haljala vald, Lääne-Viru maakond 45403, registrikood 70004459.</w:t>
      </w:r>
    </w:p>
    <w:p w14:paraId="474F3180" w14:textId="13DEE61A" w:rsidR="00136003" w:rsidRPr="00426617" w:rsidRDefault="00136003" w:rsidP="00136003">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 xml:space="preserve">CPV Klassifikatsioon: </w:t>
      </w:r>
      <w:r w:rsidR="003F7084" w:rsidRPr="003F7084">
        <w:rPr>
          <w:rFonts w:ascii="Times New Roman" w:hAnsi="Times New Roman" w:cs="Times New Roman"/>
          <w:sz w:val="24"/>
          <w:szCs w:val="24"/>
        </w:rPr>
        <w:t>32300000-6</w:t>
      </w:r>
    </w:p>
    <w:p w14:paraId="00C3E636" w14:textId="6EBD561D" w:rsidR="00136003" w:rsidRPr="00FD4CDA" w:rsidRDefault="00136003" w:rsidP="00136003">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Riigihanke alusdokumendid (edaspidi RHAD) on kõik asjakohased RHS § 4 punktis 17 viidatud dokumendid, sh käesolev hankedokument koos kõikide lisadega;</w:t>
      </w:r>
    </w:p>
    <w:p w14:paraId="76636408"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5E016C82"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77ACA84A"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35C122C2" w14:textId="77777777" w:rsidR="00136003" w:rsidRPr="00563817" w:rsidRDefault="00136003" w:rsidP="00136003">
      <w:pPr>
        <w:spacing w:after="0" w:line="276" w:lineRule="auto"/>
        <w:jc w:val="both"/>
        <w:rPr>
          <w:rFonts w:ascii="Times New Roman" w:hAnsi="Times New Roman" w:cs="Times New Roman"/>
          <w:sz w:val="24"/>
          <w:szCs w:val="24"/>
        </w:rPr>
      </w:pPr>
    </w:p>
    <w:p w14:paraId="4D5F3A54" w14:textId="77777777" w:rsidR="00136003" w:rsidRPr="00563817" w:rsidRDefault="00136003" w:rsidP="00136003">
      <w:pPr>
        <w:spacing w:after="0" w:line="276" w:lineRule="auto"/>
        <w:jc w:val="both"/>
        <w:rPr>
          <w:rFonts w:ascii="Times New Roman" w:hAnsi="Times New Roman" w:cs="Times New Roman"/>
          <w:sz w:val="24"/>
          <w:szCs w:val="24"/>
        </w:rPr>
      </w:pPr>
    </w:p>
    <w:p w14:paraId="594D77CA" w14:textId="77777777" w:rsidR="00136003" w:rsidRPr="002348C6" w:rsidRDefault="00136003" w:rsidP="00136003">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HANKELEPINGU ESE</w:t>
      </w:r>
      <w:r>
        <w:rPr>
          <w:rFonts w:ascii="Times New Roman" w:hAnsi="Times New Roman" w:cs="Times New Roman"/>
          <w:b/>
          <w:sz w:val="24"/>
          <w:szCs w:val="24"/>
        </w:rPr>
        <w:t xml:space="preserve">, OBJEKTIGA TUTVUMINE </w:t>
      </w:r>
      <w:r w:rsidRPr="00563817">
        <w:rPr>
          <w:rFonts w:ascii="Times New Roman" w:hAnsi="Times New Roman" w:cs="Times New Roman"/>
          <w:b/>
          <w:sz w:val="24"/>
          <w:szCs w:val="24"/>
        </w:rPr>
        <w:t xml:space="preserve">JA </w:t>
      </w:r>
      <w:r w:rsidRPr="002348C6">
        <w:rPr>
          <w:rFonts w:ascii="Times New Roman" w:hAnsi="Times New Roman" w:cs="Times New Roman"/>
          <w:b/>
          <w:sz w:val="24"/>
          <w:szCs w:val="24"/>
        </w:rPr>
        <w:t>TÄHTAEG</w:t>
      </w:r>
      <w:bookmarkStart w:id="2" w:name="_Toc350958044"/>
    </w:p>
    <w:p w14:paraId="4A627D50" w14:textId="30FB3281" w:rsidR="00136003" w:rsidRPr="00136003" w:rsidRDefault="00136003" w:rsidP="00136003">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Hankelepingu esemeks on</w:t>
      </w:r>
      <w:bookmarkEnd w:id="2"/>
      <w:r w:rsidRPr="001E45CB">
        <w:t xml:space="preserve"> </w:t>
      </w:r>
      <w:r w:rsidRPr="00136003">
        <w:rPr>
          <w:rFonts w:ascii="Times New Roman" w:hAnsi="Times New Roman" w:cs="Times New Roman"/>
          <w:sz w:val="24"/>
          <w:szCs w:val="24"/>
        </w:rPr>
        <w:t>soetada Soomaa rahvuspargi külastuskeskuse ekspositsiooni jaoks vajalik tehnika (edaspidi ka  asi või asjad)</w:t>
      </w:r>
      <w:r w:rsidRPr="001E45CB">
        <w:rPr>
          <w:rFonts w:ascii="Times New Roman" w:hAnsi="Times New Roman" w:cs="Times New Roman"/>
          <w:sz w:val="24"/>
          <w:szCs w:val="24"/>
        </w:rPr>
        <w:t xml:space="preserve"> </w:t>
      </w:r>
      <w:r>
        <w:rPr>
          <w:rFonts w:ascii="Times New Roman" w:hAnsi="Times New Roman" w:cs="Times New Roman"/>
          <w:sz w:val="24"/>
          <w:szCs w:val="24"/>
        </w:rPr>
        <w:t xml:space="preserve">hanke  alusdokumentides sätestatud tingimustel </w:t>
      </w:r>
      <w:r w:rsidRPr="001E45CB">
        <w:rPr>
          <w:rFonts w:ascii="Times New Roman" w:hAnsi="Times New Roman" w:cs="Times New Roman"/>
          <w:sz w:val="24"/>
          <w:szCs w:val="24"/>
        </w:rPr>
        <w:t>ja korras</w:t>
      </w:r>
      <w:r w:rsidRPr="00426617">
        <w:rPr>
          <w:rFonts w:ascii="Times New Roman" w:hAnsi="Times New Roman" w:cs="Times New Roman"/>
          <w:sz w:val="24"/>
          <w:szCs w:val="24"/>
        </w:rPr>
        <w:t>.</w:t>
      </w:r>
    </w:p>
    <w:p w14:paraId="3F6E473F" w14:textId="33F86195" w:rsidR="00136003" w:rsidRPr="0028061E" w:rsidRDefault="00136003" w:rsidP="00136003">
      <w:pPr>
        <w:pStyle w:val="11"/>
        <w:suppressAutoHyphens/>
        <w:spacing w:line="276" w:lineRule="auto"/>
        <w:rPr>
          <w:rFonts w:ascii="Times New Roman" w:hAnsi="Times New Roman" w:cs="Times New Roman"/>
          <w:b/>
          <w:sz w:val="24"/>
          <w:szCs w:val="24"/>
        </w:rPr>
      </w:pPr>
      <w:r w:rsidRPr="00136003">
        <w:rPr>
          <w:rFonts w:ascii="Times New Roman" w:hAnsi="Times New Roman" w:cs="Times New Roman"/>
          <w:sz w:val="24"/>
          <w:szCs w:val="24"/>
        </w:rPr>
        <w:t>Müüja peab  tehnika tarnima Soomaa külastuskeskusse, aadressil Tipu, 71280 Viljandi maakond, hiljemalt  26.08.2025,  va eksponaat MM-99, mis tuleb  tarnida aadressile Tallinna, Toompuiestee 24, 10149</w:t>
      </w:r>
      <w:r w:rsidRPr="000552CD">
        <w:rPr>
          <w:rFonts w:ascii="Times New Roman" w:hAnsi="Times New Roman" w:cs="Times New Roman"/>
          <w:sz w:val="24"/>
          <w:szCs w:val="24"/>
        </w:rPr>
        <w:t>.</w:t>
      </w:r>
    </w:p>
    <w:p w14:paraId="04B005EB" w14:textId="77777777" w:rsidR="00136003" w:rsidRPr="0028061E" w:rsidRDefault="00136003" w:rsidP="00136003">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sz w:val="24"/>
          <w:szCs w:val="24"/>
        </w:rPr>
        <w:t>Hankelepingu täitmisel peavad hankija ja pakkuja juhinduma Eesti Vabariigis kehtivatest õigusaktidest, mis hankelepingu eset puudutavad või sellele kohalduvad</w:t>
      </w:r>
      <w:r>
        <w:rPr>
          <w:rFonts w:ascii="Times New Roman" w:hAnsi="Times New Roman" w:cs="Times New Roman"/>
          <w:sz w:val="24"/>
          <w:szCs w:val="24"/>
        </w:rPr>
        <w:t xml:space="preserve">. </w:t>
      </w:r>
    </w:p>
    <w:p w14:paraId="6FDFCD87" w14:textId="77777777" w:rsidR="00136003" w:rsidRPr="00563817" w:rsidRDefault="00136003" w:rsidP="00136003">
      <w:pPr>
        <w:spacing w:after="0" w:line="276" w:lineRule="auto"/>
        <w:ind w:left="426"/>
        <w:jc w:val="both"/>
        <w:rPr>
          <w:rFonts w:ascii="Times New Roman" w:hAnsi="Times New Roman" w:cs="Times New Roman"/>
          <w:sz w:val="24"/>
          <w:szCs w:val="24"/>
        </w:rPr>
      </w:pPr>
    </w:p>
    <w:p w14:paraId="77DCA6FB" w14:textId="77777777" w:rsidR="00136003" w:rsidRPr="002348C6" w:rsidRDefault="00136003" w:rsidP="00136003">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lastRenderedPageBreak/>
        <w:t>PAKKUMUS, PAKKUMUSE ESITAMINE JA VASTAVUSE KONTROLLIMINE</w:t>
      </w:r>
    </w:p>
    <w:p w14:paraId="66FEDD99"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A881E82"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33073898"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3712F11E"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5"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6CB8D3D4"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09A3543F"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Hankija ei vastuta võimalike viivituste, tõrgete või katkestuste eest, mille põhjustavad RHR-s hankija kontrolli alt väljas olevad asjaolud nagu force majeure,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9E39B79"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0BD05FB4" w14:textId="77777777" w:rsidR="00136003" w:rsidRPr="00EA73DA"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53F441B3" w14:textId="77777777" w:rsidR="00136003" w:rsidRPr="002348C6"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5C894A8A" w14:textId="77777777" w:rsidR="00136003" w:rsidRPr="00136003"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599C3CAD" w14:textId="77777777" w:rsidR="00136003" w:rsidRPr="00F6217C" w:rsidRDefault="00136003" w:rsidP="00136003">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Pakkumuse maksumus tuleb esitada eRHRi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57B63747" w14:textId="5D93635F" w:rsidR="00136003" w:rsidRPr="00136003" w:rsidRDefault="00136003" w:rsidP="00136003">
      <w:pPr>
        <w:pStyle w:val="11"/>
        <w:rPr>
          <w:rFonts w:ascii="Times New Roman" w:eastAsia="Times New Roman" w:hAnsi="Times New Roman" w:cs="Times New Roman"/>
          <w:kern w:val="32"/>
          <w:sz w:val="24"/>
          <w:szCs w:val="24"/>
          <w14:ligatures w14:val="none"/>
        </w:rPr>
      </w:pPr>
      <w:r w:rsidRPr="00F6217C">
        <w:rPr>
          <w:rFonts w:ascii="Times New Roman" w:eastAsia="Times New Roman" w:hAnsi="Times New Roman" w:cs="Times New Roman"/>
          <w:kern w:val="32"/>
          <w:sz w:val="24"/>
          <w:szCs w:val="24"/>
          <w14:ligatures w14:val="none"/>
        </w:rPr>
        <w:lastRenderedPageBreak/>
        <w:t>Juhul, kui pakkumuse kogumaksumus hinnapakkumuse vormil ja RHR süsteemis täidetaval maksumuse vormil erinevad teineteisest, loeb hankija õigeks hinnapakkumuse vormil pakutud pakkumuse kogumaksumust, eeldusel, et ei esine arvutusvigu.</w:t>
      </w:r>
    </w:p>
    <w:p w14:paraId="19FD7A29" w14:textId="77777777" w:rsidR="00136003" w:rsidRPr="00136003" w:rsidRDefault="00136003" w:rsidP="00136003">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45BA4614" w14:textId="77777777" w:rsidR="00136003" w:rsidRPr="00136003" w:rsidRDefault="00136003" w:rsidP="00136003">
      <w:pPr>
        <w:pStyle w:val="11"/>
        <w:numPr>
          <w:ilvl w:val="0"/>
          <w:numId w:val="0"/>
        </w:numPr>
        <w:suppressAutoHyphens/>
        <w:spacing w:line="276" w:lineRule="auto"/>
        <w:ind w:left="432"/>
        <w:outlineLvl w:val="0"/>
        <w:rPr>
          <w:rFonts w:ascii="Times New Roman" w:eastAsia="Times New Roman" w:hAnsi="Times New Roman" w:cs="Times New Roman"/>
          <w:b/>
          <w:bCs/>
          <w:kern w:val="32"/>
          <w:sz w:val="24"/>
          <w:szCs w:val="24"/>
          <w14:ligatures w14:val="none"/>
        </w:rPr>
      </w:pPr>
    </w:p>
    <w:p w14:paraId="6FE746EF" w14:textId="77777777" w:rsidR="00136003" w:rsidRPr="00F6217C" w:rsidRDefault="00136003" w:rsidP="00136003">
      <w:pPr>
        <w:pStyle w:val="11"/>
        <w:numPr>
          <w:ilvl w:val="0"/>
          <w:numId w:val="1"/>
        </w:numPr>
        <w:spacing w:after="120"/>
        <w:rPr>
          <w:rFonts w:ascii="Times New Roman" w:hAnsi="Times New Roman" w:cs="Times New Roman"/>
          <w:b/>
          <w:bCs/>
          <w:sz w:val="24"/>
          <w:szCs w:val="24"/>
          <w:shd w:val="clear" w:color="auto" w:fill="FFFFFF"/>
        </w:rPr>
      </w:pPr>
      <w:r w:rsidRPr="00F6217C">
        <w:rPr>
          <w:rFonts w:ascii="Times New Roman" w:hAnsi="Times New Roman" w:cs="Times New Roman"/>
          <w:b/>
          <w:bCs/>
          <w:sz w:val="24"/>
          <w:szCs w:val="24"/>
        </w:rPr>
        <w:t>TEISE ISIKU VAHENDITELE TUGINEMINE JA ÜHISPAKKUMUSE ESITAMINE</w:t>
      </w:r>
    </w:p>
    <w:p w14:paraId="169932BE" w14:textId="77777777" w:rsidR="00136003" w:rsidRPr="00F6217C" w:rsidRDefault="00136003" w:rsidP="00136003">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0E3C5681" w14:textId="77777777" w:rsidR="00136003" w:rsidRPr="00F6217C" w:rsidRDefault="00136003" w:rsidP="00136003">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3BCF3E2C" w14:textId="77777777" w:rsidR="00136003" w:rsidRPr="00F6217C" w:rsidRDefault="00136003" w:rsidP="00136003">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Pakkumus peab sisaldama infot iga ühispakkuja poolt täidetava lepingu osa suuruse ja iseloomu kohta.</w:t>
      </w:r>
    </w:p>
    <w:p w14:paraId="5C6FE6B3" w14:textId="4FC120A9" w:rsidR="00136003" w:rsidRPr="002348C6" w:rsidRDefault="00136003" w:rsidP="00136003">
      <w:pPr>
        <w:pStyle w:val="11"/>
        <w:numPr>
          <w:ilvl w:val="0"/>
          <w:numId w:val="0"/>
        </w:numPr>
        <w:suppressAutoHyphens/>
        <w:spacing w:line="276" w:lineRule="auto"/>
        <w:ind w:left="360"/>
        <w:outlineLvl w:val="0"/>
        <w:rPr>
          <w:rFonts w:ascii="Times New Roman" w:eastAsia="Times New Roman" w:hAnsi="Times New Roman" w:cs="Times New Roman"/>
          <w:b/>
          <w:bCs/>
          <w:kern w:val="32"/>
          <w:sz w:val="24"/>
          <w:szCs w:val="24"/>
          <w14:ligatures w14:val="none"/>
        </w:rPr>
      </w:pPr>
    </w:p>
    <w:p w14:paraId="2C442B32" w14:textId="77777777" w:rsidR="00136003" w:rsidRPr="00563817" w:rsidRDefault="00136003" w:rsidP="00136003">
      <w:pPr>
        <w:numPr>
          <w:ilvl w:val="1"/>
          <w:numId w:val="0"/>
        </w:numPr>
        <w:spacing w:after="0" w:line="276" w:lineRule="auto"/>
        <w:jc w:val="both"/>
        <w:rPr>
          <w:rFonts w:ascii="Times New Roman" w:hAnsi="Times New Roman" w:cs="Times New Roman"/>
          <w:sz w:val="24"/>
          <w:szCs w:val="24"/>
        </w:rPr>
      </w:pPr>
    </w:p>
    <w:p w14:paraId="4E39EEC3" w14:textId="77777777" w:rsidR="00136003" w:rsidRPr="002067F5" w:rsidRDefault="00136003" w:rsidP="00136003">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61423789" w14:textId="77777777" w:rsidR="00136003" w:rsidRPr="00136003" w:rsidRDefault="00136003" w:rsidP="00136003">
      <w:pPr>
        <w:pStyle w:val="11"/>
        <w:spacing w:line="276" w:lineRule="auto"/>
        <w:rPr>
          <w:rFonts w:ascii="Times New Roman" w:hAnsi="Times New Roman" w:cs="Times New Roman"/>
          <w:sz w:val="24"/>
          <w:szCs w:val="24"/>
        </w:rPr>
      </w:pPr>
      <w:r w:rsidRPr="00136003">
        <w:rPr>
          <w:rFonts w:ascii="Times New Roman" w:hAnsi="Times New Roman" w:cs="Times New Roman"/>
          <w:sz w:val="24"/>
          <w:szCs w:val="24"/>
        </w:rPr>
        <w:t>Hankija hindab vastavaks tunnistatud pakkumusi vastavalt HD-le ja RHR-s toodud hindamisekriteeriumide osakaaludele 100 väärtuspunkti süsteemis.</w:t>
      </w:r>
    </w:p>
    <w:p w14:paraId="44597350" w14:textId="77777777" w:rsidR="00136003" w:rsidRPr="00136003" w:rsidRDefault="00136003" w:rsidP="00136003">
      <w:pPr>
        <w:pStyle w:val="11"/>
        <w:rPr>
          <w:rFonts w:ascii="Times New Roman" w:hAnsi="Times New Roman" w:cs="Times New Roman"/>
          <w:sz w:val="24"/>
          <w:szCs w:val="24"/>
        </w:rPr>
      </w:pPr>
      <w:r w:rsidRPr="00136003">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7924B8CF" w14:textId="77777777" w:rsidR="00136003" w:rsidRPr="00C56E59" w:rsidRDefault="00136003" w:rsidP="00136003">
      <w:pPr>
        <w:pStyle w:val="11"/>
        <w:spacing w:line="276" w:lineRule="auto"/>
        <w:rPr>
          <w:rFonts w:ascii="Times New Roman" w:hAnsi="Times New Roman" w:cs="Times New Roman"/>
          <w:sz w:val="24"/>
          <w:szCs w:val="24"/>
        </w:rPr>
      </w:pPr>
      <w:r w:rsidRPr="00C56E59">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10D2DD98" w14:textId="77777777" w:rsidR="00136003" w:rsidRPr="002348C6" w:rsidRDefault="00136003" w:rsidP="00136003">
      <w:pPr>
        <w:pStyle w:val="11"/>
        <w:numPr>
          <w:ilvl w:val="0"/>
          <w:numId w:val="0"/>
        </w:numPr>
        <w:spacing w:line="276" w:lineRule="auto"/>
        <w:ind w:left="432"/>
        <w:rPr>
          <w:rFonts w:ascii="Times New Roman" w:hAnsi="Times New Roman" w:cs="Times New Roman"/>
          <w:sz w:val="24"/>
          <w:szCs w:val="24"/>
        </w:rPr>
      </w:pPr>
    </w:p>
    <w:p w14:paraId="048BB9CF" w14:textId="77777777" w:rsidR="00136003" w:rsidRPr="002067F5" w:rsidRDefault="00136003" w:rsidP="00136003">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7F63E667"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68B0411"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 xml:space="preserve">Hankija nõuab pakkuja ajakohastatud kinnitusi sisaldava hankepassi esitamist esialgse tõendina pakkuja suhtes kõrvaldamise aluste puudumise ja tema kvalifitseerimise tingimustele vastamise kohta. </w:t>
      </w:r>
    </w:p>
    <w:p w14:paraId="20A014E0" w14:textId="77777777" w:rsidR="00136003"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kontrollib pakkumuse esitanud pakkujal kõrvaldamise aluste puudumist ning kvalifikatsiooni ja teeb sellekohased otsused vastavalt riigihangete seadusele.</w:t>
      </w:r>
    </w:p>
    <w:p w14:paraId="0E27C364" w14:textId="7A581810" w:rsidR="00136003" w:rsidRPr="002348C6" w:rsidRDefault="00136003" w:rsidP="00136003">
      <w:pPr>
        <w:pStyle w:val="11"/>
        <w:numPr>
          <w:ilvl w:val="0"/>
          <w:numId w:val="0"/>
        </w:numPr>
        <w:spacing w:line="276" w:lineRule="auto"/>
        <w:ind w:left="432"/>
        <w:rPr>
          <w:rFonts w:ascii="Times New Roman" w:hAnsi="Times New Roman" w:cs="Times New Roman"/>
          <w:sz w:val="24"/>
          <w:szCs w:val="24"/>
        </w:rPr>
      </w:pPr>
      <w:r w:rsidRPr="002348C6">
        <w:rPr>
          <w:rFonts w:ascii="Times New Roman" w:hAnsi="Times New Roman" w:cs="Times New Roman"/>
          <w:sz w:val="24"/>
          <w:szCs w:val="24"/>
        </w:rPr>
        <w:t xml:space="preserve"> </w:t>
      </w:r>
    </w:p>
    <w:p w14:paraId="267F842F" w14:textId="77777777" w:rsidR="00136003" w:rsidRPr="002067F5" w:rsidRDefault="00136003" w:rsidP="00136003">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04FEC30A"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3C8D0071"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0856D688"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0670CCF7" w14:textId="77777777" w:rsidR="00136003" w:rsidRPr="002348C6" w:rsidRDefault="00136003" w:rsidP="00136003">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tekib vajadus raamlepingu eset olulisel määral muuta;</w:t>
      </w:r>
    </w:p>
    <w:p w14:paraId="3073E3FE" w14:textId="77777777" w:rsidR="00136003" w:rsidRPr="002348C6" w:rsidRDefault="00136003" w:rsidP="00136003">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68FE4CF4" w14:textId="77777777" w:rsidR="00136003" w:rsidRPr="002348C6" w:rsidRDefault="00136003" w:rsidP="00136003">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EDB29FE" w14:textId="77777777" w:rsidR="00136003" w:rsidRPr="002348C6" w:rsidRDefault="00136003" w:rsidP="00136003">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38E6F10E" w14:textId="77777777" w:rsidR="00136003" w:rsidRPr="00563817" w:rsidRDefault="00136003" w:rsidP="00136003">
      <w:pPr>
        <w:numPr>
          <w:ilvl w:val="1"/>
          <w:numId w:val="0"/>
        </w:numPr>
        <w:spacing w:after="0" w:line="276" w:lineRule="auto"/>
        <w:jc w:val="both"/>
        <w:rPr>
          <w:rFonts w:ascii="Times New Roman" w:hAnsi="Times New Roman" w:cs="Times New Roman"/>
          <w:b/>
          <w:bCs/>
          <w:sz w:val="24"/>
          <w:szCs w:val="24"/>
        </w:rPr>
      </w:pPr>
    </w:p>
    <w:p w14:paraId="0EBA82A0" w14:textId="77777777" w:rsidR="00136003" w:rsidRDefault="00136003" w:rsidP="00136003">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r>
        <w:rPr>
          <w:rFonts w:ascii="Times New Roman" w:hAnsi="Times New Roman" w:cs="Times New Roman"/>
          <w:b/>
          <w:bCs/>
          <w:sz w:val="24"/>
          <w:szCs w:val="24"/>
        </w:rPr>
        <w:t>U SÕLMIMINE</w:t>
      </w:r>
    </w:p>
    <w:p w14:paraId="2431F41E" w14:textId="77777777" w:rsidR="00136003" w:rsidRPr="0028061E" w:rsidRDefault="00136003" w:rsidP="00136003">
      <w:pPr>
        <w:pStyle w:val="11"/>
        <w:spacing w:line="276" w:lineRule="auto"/>
        <w:rPr>
          <w:rFonts w:ascii="Times New Roman" w:hAnsi="Times New Roman" w:cs="Times New Roman"/>
          <w:b/>
          <w:bCs/>
          <w:sz w:val="24"/>
          <w:szCs w:val="24"/>
        </w:rPr>
      </w:pPr>
      <w:r>
        <w:rPr>
          <w:rFonts w:ascii="Times New Roman" w:hAnsi="Times New Roman" w:cs="Times New Roman"/>
          <w:sz w:val="24"/>
          <w:szCs w:val="24"/>
        </w:rPr>
        <w:t>L</w:t>
      </w:r>
      <w:r w:rsidRPr="00426617">
        <w:rPr>
          <w:rFonts w:ascii="Times New Roman" w:hAnsi="Times New Roman" w:cs="Times New Roman"/>
          <w:sz w:val="24"/>
          <w:szCs w:val="24"/>
        </w:rPr>
        <w:t xml:space="preserve">epingutingimused on esitatud </w:t>
      </w:r>
      <w:r w:rsidRPr="00AF07C7">
        <w:rPr>
          <w:rFonts w:ascii="Times New Roman" w:hAnsi="Times New Roman" w:cs="Times New Roman"/>
          <w:sz w:val="24"/>
          <w:szCs w:val="24"/>
        </w:rPr>
        <w:t>lepingu projektis (Lisa 2).</w:t>
      </w:r>
      <w:r>
        <w:rPr>
          <w:rFonts w:ascii="Times New Roman" w:hAnsi="Times New Roman" w:cs="Times New Roman"/>
          <w:sz w:val="24"/>
          <w:szCs w:val="24"/>
        </w:rPr>
        <w:t xml:space="preserve"> </w:t>
      </w:r>
    </w:p>
    <w:p w14:paraId="2B6EDB05"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56D52A87"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kättesaaduks </w:t>
      </w:r>
      <w:r>
        <w:rPr>
          <w:rFonts w:ascii="Times New Roman" w:hAnsi="Times New Roman" w:cs="Times New Roman"/>
          <w:sz w:val="24"/>
          <w:szCs w:val="24"/>
        </w:rPr>
        <w:t>3</w:t>
      </w:r>
      <w:r w:rsidRPr="002348C6">
        <w:rPr>
          <w:rFonts w:ascii="Times New Roman" w:hAnsi="Times New Roman" w:cs="Times New Roman"/>
          <w:sz w:val="24"/>
          <w:szCs w:val="24"/>
        </w:rPr>
        <w:t xml:space="preserve">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4ACD6378"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446DD80C" w14:textId="77777777" w:rsidR="00136003" w:rsidRPr="00563817" w:rsidRDefault="00136003" w:rsidP="00136003">
      <w:pPr>
        <w:numPr>
          <w:ilvl w:val="1"/>
          <w:numId w:val="0"/>
        </w:numPr>
        <w:spacing w:after="0" w:line="276" w:lineRule="auto"/>
        <w:jc w:val="both"/>
        <w:rPr>
          <w:rFonts w:ascii="Times New Roman" w:hAnsi="Times New Roman" w:cs="Times New Roman"/>
          <w:sz w:val="24"/>
          <w:szCs w:val="24"/>
        </w:rPr>
      </w:pPr>
    </w:p>
    <w:p w14:paraId="45061BF3" w14:textId="77777777" w:rsidR="00136003" w:rsidRPr="002067F5" w:rsidRDefault="00136003" w:rsidP="00136003">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166B2015"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26BA8133"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5BFB4483" w14:textId="77777777" w:rsidR="00136003" w:rsidRPr="002348C6" w:rsidRDefault="00136003" w:rsidP="00136003">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vastab RHAD-ga seotud selgitustaotlustele RHS § 46 sätestatud tähtaegadel ja korras. </w:t>
      </w:r>
    </w:p>
    <w:p w14:paraId="51803E44" w14:textId="77777777" w:rsidR="00136003" w:rsidRPr="00563817" w:rsidRDefault="00136003" w:rsidP="00136003">
      <w:pPr>
        <w:numPr>
          <w:ilvl w:val="1"/>
          <w:numId w:val="0"/>
        </w:numPr>
        <w:spacing w:after="0" w:line="276" w:lineRule="auto"/>
        <w:jc w:val="both"/>
        <w:rPr>
          <w:rFonts w:ascii="Times New Roman" w:hAnsi="Times New Roman" w:cs="Times New Roman"/>
          <w:sz w:val="24"/>
          <w:szCs w:val="24"/>
        </w:rPr>
      </w:pPr>
    </w:p>
    <w:p w14:paraId="3FE18707" w14:textId="77777777" w:rsidR="00136003" w:rsidRPr="00563817" w:rsidRDefault="00136003" w:rsidP="00136003">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4A05E698" w14:textId="77777777" w:rsidR="00136003" w:rsidRPr="00563817" w:rsidRDefault="00136003" w:rsidP="00136003">
      <w:pPr>
        <w:spacing w:after="0" w:line="276" w:lineRule="auto"/>
        <w:ind w:left="360"/>
        <w:jc w:val="both"/>
        <w:rPr>
          <w:rFonts w:ascii="Times New Roman" w:eastAsia="Arial" w:hAnsi="Times New Roman" w:cs="Times New Roman"/>
          <w:sz w:val="24"/>
          <w:szCs w:val="24"/>
        </w:rPr>
      </w:pPr>
    </w:p>
    <w:p w14:paraId="5F6C20E5" w14:textId="77777777" w:rsidR="00136003" w:rsidRDefault="00136003" w:rsidP="00136003">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Pr="00563817">
        <w:rPr>
          <w:rFonts w:ascii="Times New Roman" w:hAnsi="Times New Roman" w:cs="Times New Roman"/>
          <w:sz w:val="24"/>
          <w:szCs w:val="24"/>
        </w:rPr>
        <w:t>Tehnili</w:t>
      </w:r>
      <w:r>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1DB86551" w14:textId="77777777" w:rsidR="00136003" w:rsidRDefault="00136003" w:rsidP="00136003">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76F56F4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003"/>
    <w:rsid w:val="00136003"/>
    <w:rsid w:val="00180000"/>
    <w:rsid w:val="003F7084"/>
    <w:rsid w:val="00E73659"/>
    <w:rsid w:val="00F106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2E68B"/>
  <w15:chartTrackingRefBased/>
  <w15:docId w15:val="{EC345392-B3BC-4430-8578-C95E58DC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36003"/>
  </w:style>
  <w:style w:type="paragraph" w:styleId="Pealkiri1">
    <w:name w:val="heading 1"/>
    <w:basedOn w:val="Normaallaad"/>
    <w:next w:val="Normaallaad"/>
    <w:link w:val="Pealkiri1Mrk"/>
    <w:uiPriority w:val="9"/>
    <w:qFormat/>
    <w:rsid w:val="0013600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3600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3600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3600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3600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3600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3600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3600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3600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3600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3600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3600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3600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3600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3600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3600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3600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3600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360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3600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3600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3600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36003"/>
    <w:pPr>
      <w:spacing w:before="160"/>
      <w:jc w:val="center"/>
    </w:pPr>
    <w:rPr>
      <w:i/>
      <w:iCs/>
      <w:color w:val="404040" w:themeColor="text1" w:themeTint="BF"/>
    </w:rPr>
  </w:style>
  <w:style w:type="character" w:customStyle="1" w:styleId="TsitaatMrk">
    <w:name w:val="Tsitaat Märk"/>
    <w:basedOn w:val="Liguvaikefont"/>
    <w:link w:val="Tsitaat"/>
    <w:uiPriority w:val="29"/>
    <w:rsid w:val="00136003"/>
    <w:rPr>
      <w:i/>
      <w:iCs/>
      <w:color w:val="404040" w:themeColor="text1" w:themeTint="BF"/>
    </w:rPr>
  </w:style>
  <w:style w:type="paragraph" w:styleId="Loendilik">
    <w:name w:val="List Paragraph"/>
    <w:basedOn w:val="Normaallaad"/>
    <w:uiPriority w:val="34"/>
    <w:qFormat/>
    <w:rsid w:val="00136003"/>
    <w:pPr>
      <w:ind w:left="720"/>
      <w:contextualSpacing/>
    </w:pPr>
  </w:style>
  <w:style w:type="character" w:styleId="Selgeltmrgatavrhutus">
    <w:name w:val="Intense Emphasis"/>
    <w:basedOn w:val="Liguvaikefont"/>
    <w:uiPriority w:val="21"/>
    <w:qFormat/>
    <w:rsid w:val="00136003"/>
    <w:rPr>
      <w:i/>
      <w:iCs/>
      <w:color w:val="2E74B5" w:themeColor="accent1" w:themeShade="BF"/>
    </w:rPr>
  </w:style>
  <w:style w:type="paragraph" w:styleId="Selgeltmrgatavtsitaat">
    <w:name w:val="Intense Quote"/>
    <w:basedOn w:val="Normaallaad"/>
    <w:next w:val="Normaallaad"/>
    <w:link w:val="SelgeltmrgatavtsitaatMrk"/>
    <w:uiPriority w:val="30"/>
    <w:qFormat/>
    <w:rsid w:val="0013600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36003"/>
    <w:rPr>
      <w:i/>
      <w:iCs/>
      <w:color w:val="2E74B5" w:themeColor="accent1" w:themeShade="BF"/>
    </w:rPr>
  </w:style>
  <w:style w:type="character" w:styleId="Selgeltmrgatavviide">
    <w:name w:val="Intense Reference"/>
    <w:basedOn w:val="Liguvaikefont"/>
    <w:uiPriority w:val="32"/>
    <w:qFormat/>
    <w:rsid w:val="00136003"/>
    <w:rPr>
      <w:b/>
      <w:bCs/>
      <w:smallCaps/>
      <w:color w:val="2E74B5" w:themeColor="accent1" w:themeShade="BF"/>
      <w:spacing w:val="5"/>
    </w:rPr>
  </w:style>
  <w:style w:type="paragraph" w:customStyle="1" w:styleId="111">
    <w:name w:val="1.1.1"/>
    <w:basedOn w:val="Normaallaad"/>
    <w:qFormat/>
    <w:rsid w:val="00136003"/>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link w:val="11Char"/>
    <w:qFormat/>
    <w:rsid w:val="00136003"/>
    <w:pPr>
      <w:numPr>
        <w:ilvl w:val="1"/>
        <w:numId w:val="1"/>
      </w:numPr>
      <w:spacing w:after="0" w:line="240" w:lineRule="auto"/>
      <w:jc w:val="both"/>
    </w:pPr>
    <w:rPr>
      <w:rFonts w:ascii="MaxPro_S-Light" w:hAnsi="MaxPro_S-Light" w:cs="MaxPro_S-Light"/>
    </w:rPr>
  </w:style>
  <w:style w:type="character" w:styleId="Hperlink">
    <w:name w:val="Hyperlink"/>
    <w:basedOn w:val="Liguvaikefont"/>
    <w:uiPriority w:val="99"/>
    <w:unhideWhenUsed/>
    <w:rsid w:val="00136003"/>
    <w:rPr>
      <w:color w:val="0563C1" w:themeColor="hyperlink"/>
      <w:u w:val="single"/>
    </w:rPr>
  </w:style>
  <w:style w:type="character" w:customStyle="1" w:styleId="11Char">
    <w:name w:val="1.1 Char"/>
    <w:link w:val="11"/>
    <w:locked/>
    <w:rsid w:val="00136003"/>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1835</Words>
  <Characters>10643</Characters>
  <Application>Microsoft Office Word</Application>
  <DocSecurity>0</DocSecurity>
  <Lines>88</Lines>
  <Paragraphs>24</Paragraphs>
  <ScaleCrop>false</ScaleCrop>
  <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2025-06-13T12:26:00Z</dcterms:created>
  <dcterms:modified xsi:type="dcterms:W3CDTF">2025-06-17T06:12:00Z</dcterms:modified>
</cp:coreProperties>
</file>